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36"/>
          <w:szCs w:val="36"/>
        </w:rPr>
        <w:t xml:space="preserve">TAX INVOICE</w:t>
      </w:r>
    </w:p>
    <w:p/>
    <w:tbl>
      <w:tblPr>
        <w:tblW w:type="pct" w:w="100%"/>
        <w:tblBorders>
          <w:top w:val="single" w:sz="2"/>
          <w:left w:val="single" w:sz="2"/>
          <w:bottom w:val="single" w:sz="2"/>
          <w:right w:val="single" w:sz="2"/>
          <w:insideH w:val="single" w:sz="2"/>
          <w:insideV w:val="single" w:sz="2"/>
        </w:tblBorders>
      </w:tblPr>
      <w:tblGrid>
        <w:gridCol w:w="100"/>
        <w:gridCol w:w="100"/>
      </w:tblGrid>
      <w:tr>
        <w:tc>
          <w:tcPr>
            <w:tcW w:type="pct" w:w="30%"/>
          </w:tcPr>
          <w:p>
            <w:r>
              <w:rPr>
                <w:b/>
                <w:bCs/>
                <w:sz w:val="20"/>
                <w:szCs w:val="20"/>
              </w:rPr>
              <w:t xml:space="preserve">Seller name: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</w:tcPr>
          <w:p>
            <w:r>
              <w:rPr>
                <w:b/>
                <w:bCs/>
                <w:sz w:val="20"/>
                <w:szCs w:val="20"/>
              </w:rPr>
              <w:t xml:space="preserve">Address: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</w:tcPr>
          <w:p>
            <w:r>
              <w:rPr>
                <w:b/>
                <w:bCs/>
                <w:sz w:val="20"/>
                <w:szCs w:val="20"/>
              </w:rPr>
              <w:t xml:space="preserve">TRN (15 digits):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</w:tcPr>
          <w:p>
            <w:r>
              <w:rPr>
                <w:b/>
                <w:bCs/>
                <w:sz w:val="20"/>
                <w:szCs w:val="20"/>
              </w:rPr>
              <w:t xml:space="preserve">Place of supply (Emirate):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</w:tcPr>
          <w:p>
            <w:r>
              <w:rPr>
                <w:b/>
                <w:bCs/>
                <w:sz w:val="20"/>
                <w:szCs w:val="20"/>
              </w:rPr>
              <w:t xml:space="preserve">Invoice No.: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</w:tcPr>
          <w:p>
            <w:r>
              <w:rPr>
                <w:b/>
                <w:bCs/>
                <w:sz w:val="20"/>
                <w:szCs w:val="20"/>
              </w:rPr>
              <w:t xml:space="preserve">Invoice date: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</w:tcPr>
          <w:p>
            <w:r>
              <w:rPr>
                <w:b/>
                <w:bCs/>
                <w:sz w:val="20"/>
                <w:szCs w:val="20"/>
              </w:rPr>
              <w:t xml:space="preserve">Date of supply: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/>
    <w:tbl>
      <w:tblPr>
        <w:tblW w:type="pct" w:w="100%"/>
        <w:tblBorders>
          <w:top w:val="single" w:sz="2"/>
          <w:left w:val="single" w:sz="2"/>
          <w:bottom w:val="single" w:sz="2"/>
          <w:right w:val="single" w:sz="2"/>
          <w:insideH w:val="single" w:sz="2"/>
          <w:insideV w:val="single" w:sz="2"/>
        </w:tblBorders>
      </w:tblPr>
      <w:tblGrid>
        <w:gridCol w:w="100"/>
        <w:gridCol w:w="100"/>
      </w:tblGrid>
      <w:tr>
        <w:tc>
          <w:tcPr>
            <w:tcW w:type="pct" w:w="30%"/>
          </w:tcPr>
          <w:p>
            <w:r>
              <w:rPr>
                <w:b/>
                <w:bCs/>
                <w:sz w:val="20"/>
                <w:szCs w:val="20"/>
              </w:rPr>
              <w:t xml:space="preserve">Buyer name: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</w:tcPr>
          <w:p>
            <w:r>
              <w:rPr>
                <w:b/>
                <w:bCs/>
                <w:sz w:val="20"/>
                <w:szCs w:val="20"/>
              </w:rPr>
              <w:t xml:space="preserve">Buyer address: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</w:tcPr>
          <w:p>
            <w:r>
              <w:rPr>
                <w:b/>
                <w:bCs/>
                <w:sz w:val="20"/>
                <w:szCs w:val="20"/>
              </w:rPr>
              <w:t xml:space="preserve">Buyer TRN (if VAT-registered):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c>
          <w:p>
            <w:r>
              <w:rPr>
                <w:b/>
                <w:bCs/>
                <w:sz w:val="18"/>
                <w:szCs w:val="18"/>
              </w:rPr>
              <w:t xml:space="preserve">S.No</w:t>
            </w:r>
          </w:p>
        </w:tc>
        <w:tc>
          <w:p>
            <w:r>
              <w:rPr>
                <w:b/>
                <w:bCs/>
                <w:sz w:val="18"/>
                <w:szCs w:val="18"/>
              </w:rPr>
              <w:t xml:space="preserve">Description</w:t>
            </w:r>
          </w:p>
        </w:tc>
        <w:tc>
          <w:p>
            <w:r>
              <w:rPr>
                <w:b/>
                <w:bCs/>
                <w:sz w:val="18"/>
                <w:szCs w:val="18"/>
              </w:rPr>
              <w:t xml:space="preserve">Unit price</w:t>
            </w:r>
          </w:p>
        </w:tc>
        <w:tc>
          <w:p>
            <w:r>
              <w:rPr>
                <w:b/>
                <w:bCs/>
                <w:sz w:val="18"/>
                <w:szCs w:val="18"/>
              </w:rPr>
              <w:t xml:space="preserve">Qty</w:t>
            </w:r>
          </w:p>
        </w:tc>
        <w:tc>
          <w:p>
            <w:r>
              <w:rPr>
                <w:b/>
                <w:bCs/>
                <w:sz w:val="18"/>
                <w:szCs w:val="18"/>
              </w:rPr>
              <w:t xml:space="preserve">Rate</w:t>
            </w:r>
          </w:p>
        </w:tc>
        <w:tc>
          <w:p>
            <w:r>
              <w:rPr>
                <w:b/>
                <w:bCs/>
                <w:sz w:val="18"/>
                <w:szCs w:val="18"/>
              </w:rPr>
              <w:t xml:space="preserve">Taxable amount (AED)</w:t>
            </w:r>
          </w:p>
        </w:tc>
        <w:tc>
          <w:p>
            <w:r>
              <w:rPr>
                <w:b/>
                <w:bCs/>
                <w:sz w:val="18"/>
                <w:szCs w:val="18"/>
              </w:rPr>
              <w:t xml:space="preserve">VAT (AED)</w:t>
            </w:r>
          </w:p>
        </w:tc>
        <w:tc>
          <w:p>
            <w:r>
              <w:rPr>
                <w:b/>
                <w:bCs/>
                <w:sz w:val="18"/>
                <w:szCs w:val="18"/>
              </w:rPr>
              <w:t xml:space="preserve">Total (AED)</w:t>
            </w:r>
          </w:p>
        </w:tc>
      </w:tr>
      <w:tr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4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6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7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8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9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10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b/>
                <w:bCs/>
                <w:sz w:val="20"/>
                <w:szCs w:val="20"/>
              </w:rPr>
              <w:t xml:space="preserve">Totals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/>
    <w:tbl>
      <w:tblPr>
        <w:tblW w:type="pct" w:w="100%"/>
        <w:tblBorders>
          <w:top w:val="single" w:sz="2"/>
          <w:left w:val="single" w:sz="2"/>
          <w:bottom w:val="single" w:sz="2"/>
          <w:right w:val="single" w:sz="2"/>
          <w:insideH w:val="single" w:sz="2"/>
          <w:insideV w:val="single" w:sz="2"/>
        </w:tblBorders>
      </w:tblPr>
      <w:tblGrid>
        <w:gridCol w:w="100"/>
        <w:gridCol w:w="100"/>
      </w:tblGrid>
      <w:tr>
        <w:tc>
          <w:tcPr>
            <w:tcW w:type="pct" w:w="30%"/>
          </w:tcPr>
          <w:p>
            <w:r>
              <w:rPr>
                <w:b/>
                <w:bCs/>
                <w:sz w:val="20"/>
                <w:szCs w:val="20"/>
              </w:rPr>
              <w:t xml:space="preserve">Total taxable amount (AED):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</w:tcPr>
          <w:p>
            <w:r>
              <w:rPr>
                <w:b/>
                <w:bCs/>
                <w:sz w:val="20"/>
                <w:szCs w:val="20"/>
              </w:rPr>
              <w:t xml:space="preserve">VAT at 5% (AED):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</w:tcPr>
          <w:p>
            <w:r>
              <w:rPr>
                <w:b/>
                <w:bCs/>
                <w:sz w:val="20"/>
                <w:szCs w:val="20"/>
              </w:rPr>
              <w:t xml:space="preserve">Total including VAT (AED):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</w:tcPr>
          <w:p>
            <w:r>
              <w:rPr>
                <w:b/>
                <w:bCs/>
                <w:sz w:val="20"/>
                <w:szCs w:val="20"/>
              </w:rPr>
              <w:t xml:space="preserve">Amount in words: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/>
    <w:p>
      <w:r>
        <w:rPr>
          <w:color w:val="666666"/>
          <w:sz w:val="16"/>
          <w:szCs w:val="16"/>
        </w:rPr>
        <w:t xml:space="preserve">A full UAE tax invoice must show the words Tax Invoice, the supplier name, address and 15-digit TRN, the recipient details and TRN where registered, a unique sequential number, the issue date and date of supply, line-level taxable amounts and VAT, and totals in AED. Supplies under AED 10,000 to unregistered customers may use a simplified tax invoice.</w:t>
      </w:r>
    </w:p>
    <w:p>
      <w:r>
        <w:rPr>
          <w:color w:val="8A1E30"/>
          <w:sz w:val="16"/>
          <w:szCs w:val="16"/>
        </w:rPr>
        <w:t xml:space="preserve">Free template by AmalERP - amalerp.com/blog/uae-tax-invoice-requirements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2026-08-16T02:40:04.026Z</dcterms:created>
  <dcterms:modified xsi:type="dcterms:W3CDTF">2026-08-16T02:40:04.026Z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